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A06F38" w14:textId="77777777" w:rsidR="00C2610A" w:rsidRPr="00C2610A" w:rsidRDefault="00C2610A" w:rsidP="00C2610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78D7A21D" w14:textId="77777777" w:rsidR="00C2610A" w:rsidRPr="00C2610A" w:rsidRDefault="00C2610A" w:rsidP="00C2610A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  <w:r w:rsidRPr="00C2610A">
        <w:rPr>
          <w:rFonts w:ascii="Calibri" w:eastAsia="Calibri" w:hAnsi="Calibri" w:cs="Times New Roman"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B8763E" wp14:editId="339CD90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1828800" cy="1828800"/>
                <wp:effectExtent l="0" t="0" r="0" b="0"/>
                <wp:wrapNone/>
                <wp:docPr id="5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D28AB8" w14:textId="77777777" w:rsidR="00C2610A" w:rsidRPr="004F03FA" w:rsidRDefault="00C2610A" w:rsidP="00C2610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B8763E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5pt;margin-top:-20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3N0KwIAAEcEAAAOAAAAZHJzL2Uyb0RvYy54bWysU82O0zAQviPxDpbvNGnpQo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" filled="f" stroked="f">
                <v:textbox style="mso-fit-shape-to-text:t">
                  <w:txbxContent>
                    <w:p w14:paraId="7BD28AB8" w14:textId="77777777" w:rsidR="00C2610A" w:rsidRPr="004F03FA" w:rsidRDefault="00C2610A" w:rsidP="00C2610A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2610A">
        <w:rPr>
          <w:rFonts w:ascii="Times New Roman" w:eastAsia="Calibri" w:hAnsi="Times New Roman" w:cs="Times New Roman"/>
          <w:sz w:val="28"/>
          <w:szCs w:val="28"/>
          <w:lang w:val="uk-UA"/>
        </w:rPr>
        <w:object w:dxaOrig="2040" w:dyaOrig="2325" w14:anchorId="7E0408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6947144" r:id="rId6"/>
        </w:object>
      </w:r>
    </w:p>
    <w:p w14:paraId="03732C99" w14:textId="77777777" w:rsidR="00C2610A" w:rsidRPr="00C2610A" w:rsidRDefault="00C2610A" w:rsidP="00C2610A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  <w:lang w:val="uk-UA"/>
        </w:rPr>
      </w:pPr>
      <w:r w:rsidRPr="00C2610A">
        <w:rPr>
          <w:rFonts w:ascii="Times New Roman" w:eastAsia="Calibri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2610A" w:rsidRPr="00C2610A" w14:paraId="74AC9A8D" w14:textId="77777777" w:rsidTr="001C57AC">
        <w:tc>
          <w:tcPr>
            <w:tcW w:w="9628" w:type="dxa"/>
          </w:tcPr>
          <w:p w14:paraId="74829902" w14:textId="77777777" w:rsidR="00C2610A" w:rsidRPr="00C2610A" w:rsidRDefault="00C2610A" w:rsidP="00C2610A">
            <w:pPr>
              <w:keepNext/>
              <w:tabs>
                <w:tab w:val="left" w:pos="14743"/>
              </w:tabs>
              <w:jc w:val="center"/>
              <w:rPr>
                <w:rFonts w:ascii="Times New Roman" w:eastAsia="Calibri" w:hAnsi="Times New Roman" w:cs="Times New Roman"/>
                <w:b/>
                <w:spacing w:val="80"/>
                <w:sz w:val="28"/>
                <w:szCs w:val="28"/>
              </w:rPr>
            </w:pPr>
            <w:r w:rsidRPr="00C2610A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5134E11B" w14:textId="77777777" w:rsidR="00C2610A" w:rsidRPr="00C2610A" w:rsidRDefault="00C2610A" w:rsidP="00C2610A">
            <w:pPr>
              <w:rPr>
                <w:rFonts w:ascii="Calibri" w:eastAsia="Calibri" w:hAnsi="Calibri" w:cs="Times New Roman"/>
              </w:rPr>
            </w:pPr>
          </w:p>
        </w:tc>
      </w:tr>
    </w:tbl>
    <w:p w14:paraId="1CB219F2" w14:textId="77777777" w:rsidR="00C2610A" w:rsidRPr="00C2610A" w:rsidRDefault="00C2610A" w:rsidP="00C2610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  <w:lang w:val="uk-UA"/>
        </w:rPr>
      </w:pPr>
      <w:r w:rsidRPr="00C2610A"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  <w:t>(</w:t>
      </w:r>
      <w:r w:rsidRPr="00C2610A">
        <w:rPr>
          <w:rFonts w:ascii="Times New Roman" w:eastAsia="Calibri" w:hAnsi="Times New Roman" w:cs="Times New Roman"/>
          <w:b/>
          <w:spacing w:val="80"/>
          <w:sz w:val="24"/>
          <w:szCs w:val="24"/>
          <w:lang w:val="uk-UA"/>
        </w:rPr>
        <w:t>ПОЗАЧЕРГОВЕ ЗАСІДАННЯ)</w:t>
      </w:r>
    </w:p>
    <w:p w14:paraId="779A232A" w14:textId="77777777" w:rsidR="00C2610A" w:rsidRPr="00C2610A" w:rsidRDefault="00C2610A" w:rsidP="00C2610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  <w:lang w:val="uk-UA"/>
        </w:rPr>
      </w:pPr>
      <w:r w:rsidRPr="00C2610A">
        <w:rPr>
          <w:rFonts w:ascii="Times New Roman" w:eastAsia="Calibri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14:paraId="6F4402AF" w14:textId="77777777" w:rsidR="00C2610A" w:rsidRPr="00C2610A" w:rsidRDefault="00C2610A" w:rsidP="00C2610A">
      <w:pPr>
        <w:spacing w:after="0" w:line="240" w:lineRule="auto"/>
        <w:rPr>
          <w:rFonts w:ascii="Times New Roman" w:eastAsia="Calibri" w:hAnsi="Times New Roman" w:cs="Times New Roman"/>
          <w:spacing w:val="40"/>
          <w:sz w:val="28"/>
          <w:szCs w:val="28"/>
          <w:lang w:val="uk-UA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610A" w:rsidRPr="00C2610A" w14:paraId="76595B6F" w14:textId="77777777" w:rsidTr="001C57AC">
        <w:tc>
          <w:tcPr>
            <w:tcW w:w="3166" w:type="dxa"/>
          </w:tcPr>
          <w:p w14:paraId="1F27DA4E" w14:textId="77777777" w:rsidR="00C2610A" w:rsidRPr="00C2610A" w:rsidRDefault="00C2610A" w:rsidP="00C2610A">
            <w:pPr>
              <w:ind w:hanging="10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61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04.04.2023</w:t>
            </w:r>
          </w:p>
        </w:tc>
        <w:tc>
          <w:tcPr>
            <w:tcW w:w="3166" w:type="dxa"/>
          </w:tcPr>
          <w:p w14:paraId="56EE9702" w14:textId="77777777" w:rsidR="00C2610A" w:rsidRPr="00C2610A" w:rsidRDefault="00C2610A" w:rsidP="00C261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23291C72" w14:textId="3EB5DCD2" w:rsidR="00C2610A" w:rsidRDefault="00C2610A" w:rsidP="00C2610A">
            <w:pPr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</w:pPr>
            <w:r w:rsidRPr="00C2610A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 xml:space="preserve">№  </w:t>
            </w:r>
            <w:r w:rsidR="00552180">
              <w:rPr>
                <w:rFonts w:ascii="Times New Roman" w:eastAsia="Calibri" w:hAnsi="Times New Roman" w:cs="Times New Roman"/>
                <w:bCs/>
                <w:sz w:val="28"/>
                <w:szCs w:val="28"/>
                <w:u w:val="single"/>
              </w:rPr>
              <w:t>200</w:t>
            </w:r>
          </w:p>
          <w:p w14:paraId="1A241C2B" w14:textId="0C01265B" w:rsidR="0083364B" w:rsidRPr="00C2610A" w:rsidRDefault="0083364B" w:rsidP="00C261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</w:p>
        </w:tc>
      </w:tr>
    </w:tbl>
    <w:tbl>
      <w:tblPr>
        <w:tblStyle w:val="11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610A" w:rsidRPr="00C2610A" w14:paraId="4934AC07" w14:textId="77777777" w:rsidTr="001C57AC">
        <w:tc>
          <w:tcPr>
            <w:tcW w:w="3166" w:type="dxa"/>
          </w:tcPr>
          <w:p w14:paraId="5D15ABE8" w14:textId="77777777" w:rsidR="00C2610A" w:rsidRPr="00C2610A" w:rsidRDefault="00C2610A" w:rsidP="00C2610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2370C36B" w14:textId="77777777" w:rsidR="00C2610A" w:rsidRPr="00C2610A" w:rsidRDefault="00C2610A" w:rsidP="00C261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38059512" w14:textId="77777777" w:rsidR="00C2610A" w:rsidRPr="00C2610A" w:rsidRDefault="00C2610A" w:rsidP="00C2610A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C2610A">
              <w:rPr>
                <w:rFonts w:ascii="Times New Roman" w:hAnsi="Times New Roman"/>
                <w:bCs/>
                <w:sz w:val="28"/>
                <w:szCs w:val="28"/>
              </w:rPr>
              <w:t xml:space="preserve">             </w:t>
            </w:r>
          </w:p>
        </w:tc>
      </w:tr>
    </w:tbl>
    <w:p w14:paraId="1C8B7077" w14:textId="77777777" w:rsidR="00FA0ADC" w:rsidRDefault="00304B1C" w:rsidP="005B62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2610A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r w:rsidR="00C2610A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розроблення Програми</w:t>
      </w:r>
      <w:r w:rsidRPr="00C2610A">
        <w:rPr>
          <w:rFonts w:ascii="Times New Roman" w:hAnsi="Times New Roman" w:cs="Times New Roman"/>
          <w:b/>
          <w:bCs/>
          <w:sz w:val="24"/>
          <w:szCs w:val="24"/>
        </w:rPr>
        <w:t xml:space="preserve"> комплексного </w:t>
      </w:r>
    </w:p>
    <w:p w14:paraId="099B443F" w14:textId="77777777" w:rsidR="00FA0ADC" w:rsidRDefault="005B620B" w:rsidP="005B62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відновлення території</w:t>
      </w:r>
      <w:r w:rsidR="00304B1C" w:rsidRPr="00C261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2610A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Бучанської</w:t>
      </w:r>
      <w:r w:rsidR="00304B1C" w:rsidRPr="00C261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міської </w:t>
      </w:r>
    </w:p>
    <w:p w14:paraId="649FA0A2" w14:textId="6A3836CD" w:rsidR="00304B1C" w:rsidRDefault="005B620B" w:rsidP="005B62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територіальної громади</w:t>
      </w:r>
    </w:p>
    <w:p w14:paraId="40EC185E" w14:textId="77777777" w:rsidR="005B620B" w:rsidRPr="005B620B" w:rsidRDefault="005B620B" w:rsidP="005B620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5AE25957" w14:textId="0BC67DCF" w:rsidR="00304B1C" w:rsidRDefault="005B620B" w:rsidP="005B62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 xml:space="preserve">3 метою визначення основних просторових, містобудівних та соціально- економічних пріоритетів політики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 </w:t>
      </w:r>
      <w:r w:rsidR="001B5EF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яка постраждала й зазнала значних руйнувань внаслідок збройної </w:t>
      </w:r>
      <w:r w:rsidR="00304B1C" w:rsidRPr="005B620B">
        <w:rPr>
          <w:rFonts w:ascii="Times New Roman" w:hAnsi="Times New Roman" w:cs="Times New Roman"/>
          <w:sz w:val="24"/>
          <w:szCs w:val="24"/>
        </w:rPr>
        <w:t>a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г</w:t>
      </w:r>
      <w:r w:rsidR="00304B1C" w:rsidRPr="005B620B">
        <w:rPr>
          <w:rFonts w:ascii="Times New Roman" w:hAnsi="Times New Roman" w:cs="Times New Roman"/>
          <w:sz w:val="24"/>
          <w:szCs w:val="24"/>
        </w:rPr>
        <w:t>pe</w:t>
      </w:r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304B1C" w:rsidRPr="005B620B">
        <w:rPr>
          <w:rFonts w:ascii="Times New Roman" w:hAnsi="Times New Roman" w:cs="Times New Roman"/>
          <w:sz w:val="24"/>
          <w:szCs w:val="24"/>
        </w:rPr>
        <w:t>i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 xml:space="preserve">ï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едерації проти України, відповідно до Закону України «Про регулювання містобудівної діяльності», Закону України «Про архітектурну діяльність»,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постанови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Кабінету Міністрів України від 14.10.2022 № 1159</w:t>
      </w:r>
      <w:r w:rsidR="009C4A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«Про затвердження Порядку розроблення, проведення громадського обговорення, погодження програм комплексного відновлення області, території територіальної громади (її частини) та внесення змін до них»,</w:t>
      </w:r>
      <w:r w:rsidR="009C4A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керуючись</w:t>
      </w:r>
      <w:r w:rsidR="009C4A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пп.10 п. «а» ч.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1 ст. 36-1, ч.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6 ст. 59 Закону України «Про місцеве самоврядування в Україні», викон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авчий комітете </w:t>
      </w:r>
      <w:r w:rsidR="00304B1C" w:rsidRPr="005B620B">
        <w:rPr>
          <w:rFonts w:ascii="Times New Roman" w:hAnsi="Times New Roman" w:cs="Times New Roman"/>
          <w:sz w:val="24"/>
          <w:szCs w:val="24"/>
          <w:lang w:val="uk-UA"/>
        </w:rPr>
        <w:t>міської ради</w:t>
      </w:r>
    </w:p>
    <w:p w14:paraId="273085DC" w14:textId="77777777" w:rsidR="005B620B" w:rsidRPr="005B620B" w:rsidRDefault="005B620B" w:rsidP="005B62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388A4D6D" w14:textId="77777777" w:rsidR="00304B1C" w:rsidRPr="005B620B" w:rsidRDefault="00304B1C" w:rsidP="00304B1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B620B">
        <w:rPr>
          <w:rFonts w:ascii="Times New Roman" w:hAnsi="Times New Roman" w:cs="Times New Roman"/>
          <w:b/>
          <w:bCs/>
          <w:sz w:val="24"/>
          <w:szCs w:val="24"/>
        </w:rPr>
        <w:t>ВИРІШИВ:</w:t>
      </w:r>
    </w:p>
    <w:p w14:paraId="2CC91AE0" w14:textId="0EA7E723" w:rsidR="00304B1C" w:rsidRPr="005B620B" w:rsidRDefault="00C632A7" w:rsidP="005B620B">
      <w:pPr>
        <w:pStyle w:val="a7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620B">
        <w:rPr>
          <w:rFonts w:ascii="Times New Roman" w:hAnsi="Times New Roman" w:cs="Times New Roman"/>
          <w:sz w:val="24"/>
          <w:szCs w:val="24"/>
        </w:rPr>
        <w:t xml:space="preserve">Доручити </w:t>
      </w:r>
      <w:r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містобудування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та архітектури</w:t>
      </w:r>
      <w:r w:rsidRPr="005B62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 xml:space="preserve">озробити </w:t>
      </w:r>
      <w:r w:rsidR="008126F7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>рограму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 комплексного 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>відновлення території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 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>міської територіальної громади</w:t>
      </w:r>
      <w:r w:rsidR="0097588E">
        <w:rPr>
          <w:rFonts w:ascii="Times New Roman" w:hAnsi="Times New Roman" w:cs="Times New Roman"/>
          <w:sz w:val="24"/>
          <w:szCs w:val="24"/>
          <w:lang w:val="uk-UA"/>
        </w:rPr>
        <w:t xml:space="preserve"> (далі Програма)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A18D9C5" w14:textId="2BA284C7" w:rsidR="00304B1C" w:rsidRPr="005B620B" w:rsidRDefault="00304B1C" w:rsidP="005B620B">
      <w:pPr>
        <w:pStyle w:val="a7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620B">
        <w:rPr>
          <w:rFonts w:ascii="Times New Roman" w:hAnsi="Times New Roman" w:cs="Times New Roman"/>
          <w:sz w:val="24"/>
          <w:szCs w:val="24"/>
        </w:rPr>
        <w:t xml:space="preserve">Доручити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>відділу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містобудування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 xml:space="preserve"> та архітектури</w:t>
      </w:r>
      <w:r w:rsidRPr="005B620B">
        <w:rPr>
          <w:rFonts w:ascii="Times New Roman" w:hAnsi="Times New Roman" w:cs="Times New Roman"/>
          <w:sz w:val="24"/>
          <w:szCs w:val="24"/>
        </w:rPr>
        <w:t xml:space="preserve">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міської ради у відповідності до вимог чинного законодавства </w:t>
      </w:r>
      <w:r w:rsidR="00770564" w:rsidRPr="005B620B">
        <w:rPr>
          <w:rFonts w:ascii="Times New Roman" w:hAnsi="Times New Roman" w:cs="Times New Roman"/>
          <w:sz w:val="24"/>
          <w:szCs w:val="24"/>
        </w:rPr>
        <w:t xml:space="preserve">залучити фахівців підприємств, установ та організацій </w:t>
      </w:r>
      <w:r w:rsidR="00770564">
        <w:rPr>
          <w:rFonts w:ascii="Times New Roman" w:hAnsi="Times New Roman" w:cs="Times New Roman"/>
          <w:sz w:val="24"/>
          <w:szCs w:val="24"/>
          <w:lang w:val="uk-UA"/>
        </w:rPr>
        <w:t xml:space="preserve">до розробки </w:t>
      </w:r>
      <w:r w:rsidRPr="005B620B">
        <w:rPr>
          <w:rFonts w:ascii="Times New Roman" w:hAnsi="Times New Roman" w:cs="Times New Roman"/>
          <w:sz w:val="24"/>
          <w:szCs w:val="24"/>
        </w:rPr>
        <w:t>Програм</w:t>
      </w:r>
      <w:r w:rsidR="0097588E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5B620B">
        <w:rPr>
          <w:rFonts w:ascii="Times New Roman" w:hAnsi="Times New Roman" w:cs="Times New Roman"/>
          <w:sz w:val="24"/>
          <w:szCs w:val="24"/>
        </w:rPr>
        <w:t xml:space="preserve"> комплексного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громади. </w:t>
      </w:r>
    </w:p>
    <w:p w14:paraId="66671E99" w14:textId="723E3CDE" w:rsidR="00304B1C" w:rsidRPr="005B620B" w:rsidRDefault="00304B1C" w:rsidP="005B620B">
      <w:pPr>
        <w:pStyle w:val="a7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620B">
        <w:rPr>
          <w:rFonts w:ascii="Times New Roman" w:hAnsi="Times New Roman" w:cs="Times New Roman"/>
          <w:sz w:val="24"/>
          <w:szCs w:val="24"/>
        </w:rPr>
        <w:t xml:space="preserve">Створити робочу групу з розроблення Програми комплексного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</w:t>
      </w:r>
      <w:r w:rsidRPr="005B620B">
        <w:rPr>
          <w:rFonts w:ascii="Times New Roman" w:hAnsi="Times New Roman" w:cs="Times New Roman"/>
          <w:sz w:val="24"/>
          <w:szCs w:val="24"/>
        </w:rPr>
        <w:t>міської територіальної громади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B620B">
        <w:rPr>
          <w:rFonts w:ascii="Times New Roman" w:hAnsi="Times New Roman" w:cs="Times New Roman"/>
          <w:sz w:val="24"/>
          <w:szCs w:val="24"/>
        </w:rPr>
        <w:t>(далі – робоча група) та затвердити її склад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78A9">
        <w:rPr>
          <w:rFonts w:ascii="Times New Roman" w:hAnsi="Times New Roman" w:cs="Times New Roman"/>
          <w:sz w:val="24"/>
          <w:szCs w:val="24"/>
          <w:lang w:val="uk-UA"/>
        </w:rPr>
        <w:t>згідно додатку 1</w:t>
      </w:r>
      <w:r w:rsidRPr="005B620B">
        <w:rPr>
          <w:rFonts w:ascii="Times New Roman" w:hAnsi="Times New Roman" w:cs="Times New Roman"/>
          <w:sz w:val="24"/>
          <w:szCs w:val="24"/>
        </w:rPr>
        <w:t>.</w:t>
      </w:r>
    </w:p>
    <w:p w14:paraId="1D0DD117" w14:textId="720E092C" w:rsidR="00304B1C" w:rsidRPr="005B620B" w:rsidRDefault="00304B1C" w:rsidP="005B620B">
      <w:pPr>
        <w:pStyle w:val="a7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B620B">
        <w:rPr>
          <w:rFonts w:ascii="Times New Roman" w:hAnsi="Times New Roman" w:cs="Times New Roman"/>
          <w:sz w:val="24"/>
          <w:szCs w:val="24"/>
        </w:rPr>
        <w:t xml:space="preserve">Затвердити Положення про робочу групу з розробки Програми комплексного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5B620B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B620B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</w:t>
      </w:r>
      <w:r w:rsidR="009C4A0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878A9">
        <w:rPr>
          <w:rFonts w:ascii="Times New Roman" w:hAnsi="Times New Roman" w:cs="Times New Roman"/>
          <w:sz w:val="24"/>
          <w:szCs w:val="24"/>
          <w:lang w:val="uk-UA"/>
        </w:rPr>
        <w:t>згідно додатку 2</w:t>
      </w:r>
      <w:r w:rsidRPr="005B620B">
        <w:rPr>
          <w:rFonts w:ascii="Times New Roman" w:hAnsi="Times New Roman" w:cs="Times New Roman"/>
          <w:sz w:val="24"/>
          <w:szCs w:val="24"/>
        </w:rPr>
        <w:t>.</w:t>
      </w:r>
    </w:p>
    <w:p w14:paraId="5EF759C5" w14:textId="25BC211A" w:rsidR="00A43E72" w:rsidRPr="00A43E72" w:rsidRDefault="00A43E72" w:rsidP="0000095D">
      <w:pPr>
        <w:pStyle w:val="a7"/>
        <w:numPr>
          <w:ilvl w:val="0"/>
          <w:numId w:val="9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E72">
        <w:rPr>
          <w:rFonts w:ascii="Times New Roman" w:hAnsi="Times New Roman" w:cs="Times New Roman"/>
          <w:sz w:val="24"/>
          <w:szCs w:val="24"/>
        </w:rPr>
        <w:t xml:space="preserve">Оприлюднення прийнятого рішення на офіційному веб-сайті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</w:t>
      </w:r>
      <w:r w:rsidRPr="00A43E72">
        <w:rPr>
          <w:rFonts w:ascii="Times New Roman" w:hAnsi="Times New Roman" w:cs="Times New Roman"/>
          <w:sz w:val="24"/>
          <w:szCs w:val="24"/>
        </w:rPr>
        <w:t xml:space="preserve"> щодо розроблення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A43E72">
        <w:rPr>
          <w:rFonts w:ascii="Times New Roman" w:hAnsi="Times New Roman" w:cs="Times New Roman"/>
          <w:sz w:val="24"/>
          <w:szCs w:val="24"/>
        </w:rPr>
        <w:t xml:space="preserve">рограми комплексного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</w:t>
      </w:r>
      <w:r w:rsidRPr="00A43E72">
        <w:rPr>
          <w:rFonts w:ascii="Times New Roman" w:hAnsi="Times New Roman" w:cs="Times New Roman"/>
          <w:sz w:val="24"/>
          <w:szCs w:val="24"/>
        </w:rPr>
        <w:t>територіальної громади є підставою для подання пропозицій громадськості до виконавчого органу відповідної сільської, селищної,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361B1C59" w14:textId="06586B8C" w:rsidR="00304B1C" w:rsidRDefault="00A43E72" w:rsidP="00A43E72">
      <w:pPr>
        <w:pStyle w:val="a7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6. </w:t>
      </w:r>
      <w:r w:rsidRPr="00A43E72">
        <w:rPr>
          <w:rFonts w:ascii="Times New Roman" w:hAnsi="Times New Roman" w:cs="Times New Roman"/>
          <w:sz w:val="24"/>
          <w:szCs w:val="24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Визначити, що строк подання пропозицій громадськості до Програми становить </w:t>
      </w:r>
      <w:r w:rsidR="009C4A0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1</w:t>
      </w:r>
      <w:r w:rsidR="008126F7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 календарних днів від дня оприлюднення цього рішення на офіційному веб</w:t>
      </w:r>
      <w:r w:rsidR="000F375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сайті 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5B620B">
        <w:rPr>
          <w:rFonts w:ascii="Times New Roman" w:hAnsi="Times New Roman" w:cs="Times New Roman"/>
          <w:sz w:val="24"/>
          <w:szCs w:val="24"/>
        </w:rPr>
        <w:t xml:space="preserve"> міської ради. Пропозиції до</w:t>
      </w:r>
      <w:r w:rsidR="0000095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5B620B">
        <w:rPr>
          <w:rFonts w:ascii="Times New Roman" w:hAnsi="Times New Roman" w:cs="Times New Roman"/>
          <w:sz w:val="24"/>
          <w:szCs w:val="24"/>
        </w:rPr>
        <w:t>проєкту Програми, подані після встановленого строку, не розглядаються.</w:t>
      </w:r>
    </w:p>
    <w:p w14:paraId="6D422EBB" w14:textId="77777777" w:rsidR="00A43E72" w:rsidRPr="005B620B" w:rsidRDefault="00A43E72" w:rsidP="00A43E72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68FFAEE" w14:textId="70B3E02F" w:rsidR="00A43E72" w:rsidRDefault="0000095D" w:rsidP="00A43E72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0095D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A43E72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14:paraId="04B87443" w14:textId="7C9A485C" w:rsidR="00A43E72" w:rsidRDefault="00A43E72" w:rsidP="003B037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91B56A0" w14:textId="1F36A9D5" w:rsidR="00304B1C" w:rsidRPr="003B0377" w:rsidRDefault="00A43E72" w:rsidP="003B037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00095D" w:rsidRPr="0000095D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04B1C" w:rsidRPr="003B0377">
        <w:rPr>
          <w:rFonts w:ascii="Times New Roman" w:hAnsi="Times New Roman" w:cs="Times New Roman"/>
          <w:sz w:val="24"/>
          <w:szCs w:val="24"/>
        </w:rPr>
        <w:t xml:space="preserve">Пропозиції </w:t>
      </w:r>
      <w:r w:rsidR="003B0377">
        <w:rPr>
          <w:rFonts w:ascii="Times New Roman" w:hAnsi="Times New Roman" w:cs="Times New Roman"/>
          <w:sz w:val="24"/>
          <w:szCs w:val="24"/>
          <w:lang w:val="uk-UA"/>
        </w:rPr>
        <w:t>надаються</w:t>
      </w:r>
      <w:r w:rsidR="00304B1C" w:rsidRPr="003B0377">
        <w:rPr>
          <w:rFonts w:ascii="Times New Roman" w:hAnsi="Times New Roman" w:cs="Times New Roman"/>
          <w:sz w:val="24"/>
          <w:szCs w:val="24"/>
        </w:rPr>
        <w:t>:</w:t>
      </w:r>
    </w:p>
    <w:p w14:paraId="4B79C0D6" w14:textId="330403A2" w:rsidR="003B0377" w:rsidRPr="00A43E72" w:rsidRDefault="00304B1C" w:rsidP="003B0377">
      <w:pPr>
        <w:pStyle w:val="a7"/>
        <w:numPr>
          <w:ilvl w:val="0"/>
          <w:numId w:val="1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43E72">
        <w:rPr>
          <w:rFonts w:ascii="Times New Roman" w:hAnsi="Times New Roman" w:cs="Times New Roman"/>
          <w:sz w:val="24"/>
          <w:szCs w:val="24"/>
        </w:rPr>
        <w:t>на електронну адресу </w:t>
      </w:r>
      <w:hyperlink r:id="rId7" w:history="1">
        <w:r w:rsidR="003B0377" w:rsidRPr="00E878A9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CFDFD"/>
          </w:rPr>
          <w:t>gromada@bucha-rada.gov.</w:t>
        </w:r>
        <w:r w:rsidR="003B0377" w:rsidRPr="00E878A9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CFDFD"/>
          </w:rPr>
          <w:t>ua</w:t>
        </w:r>
      </w:hyperlink>
      <w:r w:rsidR="003B0377" w:rsidRPr="00A43E72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CFDFD"/>
          <w:lang w:val="uk-UA"/>
        </w:rPr>
        <w:t xml:space="preserve"> </w:t>
      </w:r>
      <w:r w:rsidRPr="00A43E72">
        <w:rPr>
          <w:rFonts w:ascii="Times New Roman" w:hAnsi="Times New Roman" w:cs="Times New Roman"/>
          <w:sz w:val="24"/>
          <w:szCs w:val="24"/>
        </w:rPr>
        <w:t>або за адресою:</w:t>
      </w:r>
      <w:r w:rsidR="003B0377" w:rsidRPr="00A43E72">
        <w:rPr>
          <w:rFonts w:ascii="Times New Roman" w:hAnsi="Times New Roman" w:cs="Times New Roman"/>
          <w:sz w:val="24"/>
          <w:szCs w:val="24"/>
          <w:lang w:val="uk-UA"/>
        </w:rPr>
        <w:t xml:space="preserve"> Київська область, </w:t>
      </w:r>
      <w:r w:rsidRPr="00A43E72">
        <w:rPr>
          <w:rFonts w:ascii="Times New Roman" w:hAnsi="Times New Roman" w:cs="Times New Roman"/>
          <w:sz w:val="24"/>
          <w:szCs w:val="24"/>
        </w:rPr>
        <w:t xml:space="preserve"> </w:t>
      </w:r>
      <w:r w:rsidR="003B0377" w:rsidRPr="00A43E72">
        <w:rPr>
          <w:rFonts w:ascii="Times New Roman" w:hAnsi="Times New Roman" w:cs="Times New Roman"/>
          <w:sz w:val="24"/>
          <w:szCs w:val="24"/>
          <w:lang w:val="uk-UA"/>
        </w:rPr>
        <w:t xml:space="preserve">м. Буча, вул. Енергетиків, 12,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>управління Ц</w:t>
      </w:r>
      <w:r w:rsidR="003B0377" w:rsidRPr="00A43E72">
        <w:rPr>
          <w:rFonts w:ascii="Times New Roman" w:hAnsi="Times New Roman" w:cs="Times New Roman"/>
          <w:sz w:val="24"/>
          <w:szCs w:val="24"/>
          <w:lang w:val="uk-UA"/>
        </w:rPr>
        <w:t>ентр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3B0377" w:rsidRPr="00A43E72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послуг.</w:t>
      </w:r>
    </w:p>
    <w:p w14:paraId="248F5AFB" w14:textId="710AB2F3" w:rsidR="00304B1C" w:rsidRPr="0043223D" w:rsidRDefault="000C04EF" w:rsidP="00FA0AD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377">
        <w:rPr>
          <w:rFonts w:ascii="Times New Roman" w:hAnsi="Times New Roman" w:cs="Times New Roman"/>
          <w:sz w:val="24"/>
          <w:szCs w:val="24"/>
          <w:lang w:val="uk-UA"/>
        </w:rPr>
        <w:t>7.   Відділу містобудування</w:t>
      </w:r>
      <w:r w:rsidR="00304B1C" w:rsidRPr="0043223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та архітектури Бучанської міської ради</w:t>
      </w:r>
      <w:r w:rsidR="00304B1C" w:rsidRPr="0043223D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14:paraId="2AA2226E" w14:textId="09228625" w:rsidR="00304B1C" w:rsidRPr="005F07D5" w:rsidRDefault="00304B1C" w:rsidP="009016B9">
      <w:pPr>
        <w:pStyle w:val="a7"/>
        <w:numPr>
          <w:ilvl w:val="0"/>
          <w:numId w:val="10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07D5">
        <w:rPr>
          <w:rFonts w:ascii="Times New Roman" w:hAnsi="Times New Roman" w:cs="Times New Roman"/>
          <w:sz w:val="24"/>
          <w:szCs w:val="24"/>
          <w:lang w:val="uk-UA"/>
        </w:rPr>
        <w:t>забезпечити врахування державних інтересів, інтересів суміжних територіальних громад шляхом здійснення запитів до облдержадміністрації, виконавчих органів сільських, селищних, міських рад суміжних територій територіальних громад та розгляду отриманої інформації під час розроблення</w:t>
      </w:r>
      <w:r w:rsidRPr="000C04EF">
        <w:rPr>
          <w:rFonts w:ascii="Times New Roman" w:hAnsi="Times New Roman" w:cs="Times New Roman"/>
          <w:sz w:val="24"/>
          <w:szCs w:val="24"/>
        </w:rPr>
        <w:t> 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Програми;</w:t>
      </w:r>
    </w:p>
    <w:p w14:paraId="290FA83C" w14:textId="64E21B55" w:rsidR="00304B1C" w:rsidRPr="005F07D5" w:rsidRDefault="00304B1C" w:rsidP="009016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F07D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>оприлюднення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>цього рішення на офіційному веб</w:t>
      </w:r>
      <w:r w:rsidR="000F375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>сайті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>міської ради, на офіційній сторінці у соціальних мережах</w:t>
      </w:r>
      <w:r w:rsidRPr="000C04EF">
        <w:rPr>
          <w:rFonts w:ascii="Times New Roman" w:hAnsi="Times New Roman" w:cs="Times New Roman"/>
          <w:sz w:val="24"/>
          <w:szCs w:val="24"/>
        </w:rPr>
        <w:t> 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через місцеві засоби масової інформації, а також надіслати до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Київської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обласної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військової (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>державної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адміністрації;</w:t>
      </w:r>
    </w:p>
    <w:p w14:paraId="6366534A" w14:textId="135A929B" w:rsidR="0097588E" w:rsidRDefault="00304B1C" w:rsidP="0097588E">
      <w:pPr>
        <w:spacing w:after="0" w:line="240" w:lineRule="auto"/>
        <w:ind w:firstLine="426"/>
        <w:jc w:val="both"/>
        <w:rPr>
          <w:lang w:val="uk-UA"/>
        </w:rPr>
      </w:pP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– надати на погодження проєкт Програми до уповноваженого органу містобудування та архітектури </w:t>
      </w:r>
      <w:r w:rsidR="0097588E">
        <w:rPr>
          <w:rFonts w:ascii="Times New Roman" w:hAnsi="Times New Roman" w:cs="Times New Roman"/>
          <w:sz w:val="24"/>
          <w:szCs w:val="24"/>
          <w:lang w:val="uk-UA"/>
        </w:rPr>
        <w:t>Київської обласної військової (державної) адміністрації</w:t>
      </w:r>
      <w:r w:rsidRPr="005F07D5">
        <w:rPr>
          <w:rFonts w:ascii="Times New Roman" w:hAnsi="Times New Roman" w:cs="Times New Roman"/>
          <w:sz w:val="24"/>
          <w:szCs w:val="24"/>
          <w:lang w:val="uk-UA"/>
        </w:rPr>
        <w:t xml:space="preserve"> перед проведенням громадського обговорення;</w:t>
      </w:r>
      <w:r w:rsidR="0097588E" w:rsidRPr="0097588E">
        <w:rPr>
          <w:lang w:val="uk-UA"/>
        </w:rPr>
        <w:t xml:space="preserve"> </w:t>
      </w:r>
    </w:p>
    <w:p w14:paraId="75E5B019" w14:textId="0C80FA55" w:rsidR="00A43E72" w:rsidRDefault="0097588E" w:rsidP="0097588E">
      <w:pPr>
        <w:pStyle w:val="a7"/>
        <w:numPr>
          <w:ilvl w:val="0"/>
          <w:numId w:val="1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588E">
        <w:rPr>
          <w:rFonts w:ascii="Times New Roman" w:hAnsi="Times New Roman" w:cs="Times New Roman"/>
          <w:sz w:val="24"/>
          <w:szCs w:val="24"/>
          <w:lang w:val="uk-UA"/>
        </w:rPr>
        <w:t>оприлюдн</w:t>
      </w:r>
      <w:r>
        <w:rPr>
          <w:rFonts w:ascii="Times New Roman" w:hAnsi="Times New Roman" w:cs="Times New Roman"/>
          <w:sz w:val="24"/>
          <w:szCs w:val="24"/>
          <w:lang w:val="uk-UA"/>
        </w:rPr>
        <w:t>ити</w:t>
      </w:r>
      <w:r w:rsidRPr="0097588E">
        <w:rPr>
          <w:rFonts w:ascii="Times New Roman" w:hAnsi="Times New Roman" w:cs="Times New Roman"/>
          <w:sz w:val="24"/>
          <w:szCs w:val="24"/>
          <w:lang w:val="uk-UA"/>
        </w:rPr>
        <w:t xml:space="preserve"> проект </w:t>
      </w:r>
      <w:r w:rsidR="00A43E72">
        <w:rPr>
          <w:rFonts w:ascii="Times New Roman" w:hAnsi="Times New Roman" w:cs="Times New Roman"/>
          <w:sz w:val="24"/>
          <w:szCs w:val="24"/>
          <w:lang w:val="uk-UA"/>
        </w:rPr>
        <w:t>П</w:t>
      </w:r>
      <w:r w:rsidRPr="0097588E">
        <w:rPr>
          <w:rFonts w:ascii="Times New Roman" w:hAnsi="Times New Roman" w:cs="Times New Roman"/>
          <w:sz w:val="24"/>
          <w:szCs w:val="24"/>
          <w:lang w:val="uk-UA"/>
        </w:rPr>
        <w:t xml:space="preserve">рограми на своєму офіційному веб-сайті </w:t>
      </w:r>
      <w:r w:rsidR="00A43E72">
        <w:rPr>
          <w:rFonts w:ascii="Times New Roman" w:hAnsi="Times New Roman" w:cs="Times New Roman"/>
          <w:sz w:val="24"/>
          <w:szCs w:val="24"/>
          <w:lang w:val="uk-UA"/>
        </w:rPr>
        <w:t xml:space="preserve">із </w:t>
      </w:r>
      <w:r w:rsidRPr="0097588E">
        <w:rPr>
          <w:rFonts w:ascii="Times New Roman" w:hAnsi="Times New Roman" w:cs="Times New Roman"/>
          <w:sz w:val="24"/>
          <w:szCs w:val="24"/>
          <w:lang w:val="uk-UA"/>
        </w:rPr>
        <w:t xml:space="preserve">зазначенням строку подання пропозицій громадськості до проекту. </w:t>
      </w:r>
    </w:p>
    <w:p w14:paraId="3C26354C" w14:textId="4B104DE5" w:rsidR="008A304C" w:rsidRPr="009016B9" w:rsidRDefault="008A304C" w:rsidP="008A3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1B5EFD">
        <w:rPr>
          <w:rFonts w:ascii="Times New Roman" w:hAnsi="Times New Roman" w:cs="Times New Roman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 </w:t>
      </w:r>
      <w:r w:rsidR="009971A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A304C">
        <w:rPr>
          <w:rFonts w:ascii="Times New Roman" w:hAnsi="Times New Roman" w:cs="Times New Roman"/>
          <w:sz w:val="24"/>
          <w:szCs w:val="24"/>
          <w:lang w:val="uk-UA"/>
        </w:rPr>
        <w:t>Проведення громадських обговорень здійснюється шляхом надання пропозицій громадськості до оприлюдненого розробленого проєкту Програми протягом 15 календарних днів з дня оприлюднення</w:t>
      </w:r>
      <w:r w:rsidRPr="009016B9">
        <w:rPr>
          <w:rFonts w:ascii="Times New Roman" w:hAnsi="Times New Roman" w:cs="Times New Roman"/>
          <w:sz w:val="24"/>
          <w:szCs w:val="24"/>
          <w:lang w:val="uk-UA"/>
        </w:rPr>
        <w:t xml:space="preserve"> відповідного проєкту.</w:t>
      </w:r>
    </w:p>
    <w:p w14:paraId="20D76AE5" w14:textId="77777777" w:rsidR="008A304C" w:rsidRPr="003B0377" w:rsidRDefault="008A304C" w:rsidP="008A30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 w:rsidRPr="003B0377">
        <w:rPr>
          <w:rFonts w:ascii="Times New Roman" w:hAnsi="Times New Roman" w:cs="Times New Roman"/>
          <w:sz w:val="24"/>
          <w:szCs w:val="24"/>
        </w:rPr>
        <w:t>Пропозиції надаються:</w:t>
      </w:r>
    </w:p>
    <w:p w14:paraId="032CA0AC" w14:textId="39CA2251" w:rsidR="008A304C" w:rsidRPr="003B0377" w:rsidRDefault="008A304C" w:rsidP="008A304C">
      <w:pPr>
        <w:pStyle w:val="a7"/>
        <w:numPr>
          <w:ilvl w:val="0"/>
          <w:numId w:val="1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B0377">
        <w:rPr>
          <w:rFonts w:ascii="Times New Roman" w:hAnsi="Times New Roman" w:cs="Times New Roman"/>
          <w:sz w:val="24"/>
          <w:szCs w:val="24"/>
        </w:rPr>
        <w:t>на електронну адресу </w:t>
      </w:r>
      <w:hyperlink r:id="rId8" w:history="1">
        <w:r w:rsidRPr="00E878A9">
          <w:rPr>
            <w:rStyle w:val="a3"/>
            <w:rFonts w:ascii="Times New Roman" w:hAnsi="Times New Roman" w:cs="Times New Roman"/>
            <w:color w:val="auto"/>
            <w:sz w:val="24"/>
            <w:szCs w:val="24"/>
            <w:shd w:val="clear" w:color="auto" w:fill="FCFDFD"/>
          </w:rPr>
          <w:t>gromada@bucha-rada.gov.ua</w:t>
        </w:r>
      </w:hyperlink>
      <w:r w:rsidRPr="003B0377">
        <w:rPr>
          <w:rFonts w:ascii="Times New Roman" w:hAnsi="Times New Roman" w:cs="Times New Roman"/>
          <w:color w:val="0000FF"/>
          <w:sz w:val="24"/>
          <w:szCs w:val="24"/>
          <w:u w:val="single"/>
          <w:shd w:val="clear" w:color="auto" w:fill="FCFDFD"/>
        </w:rPr>
        <w:t xml:space="preserve"> </w:t>
      </w:r>
      <w:r>
        <w:rPr>
          <w:rFonts w:ascii="Times New Roman" w:hAnsi="Times New Roman" w:cs="Times New Roman"/>
          <w:color w:val="0000FF"/>
          <w:sz w:val="24"/>
          <w:szCs w:val="24"/>
          <w:shd w:val="clear" w:color="auto" w:fill="FCFDFD"/>
          <w:lang w:val="uk-UA"/>
        </w:rPr>
        <w:t xml:space="preserve">  </w:t>
      </w:r>
      <w:r w:rsidRPr="003B0377">
        <w:rPr>
          <w:rFonts w:ascii="Times New Roman" w:hAnsi="Times New Roman" w:cs="Times New Roman"/>
          <w:sz w:val="24"/>
          <w:szCs w:val="24"/>
        </w:rPr>
        <w:t>або за адресою: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Київська область, </w:t>
      </w:r>
      <w:r w:rsidRPr="003B0377">
        <w:rPr>
          <w:rFonts w:ascii="Times New Roman" w:hAnsi="Times New Roman" w:cs="Times New Roman"/>
          <w:sz w:val="24"/>
          <w:szCs w:val="24"/>
        </w:rPr>
        <w:t xml:space="preserve"> </w:t>
      </w:r>
      <w:r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м. Буча, вул. Енергетиків, 12,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>управління Ц</w:t>
      </w:r>
      <w:r w:rsidRPr="003B0377">
        <w:rPr>
          <w:rFonts w:ascii="Times New Roman" w:hAnsi="Times New Roman" w:cs="Times New Roman"/>
          <w:sz w:val="24"/>
          <w:szCs w:val="24"/>
          <w:lang w:val="uk-UA"/>
        </w:rPr>
        <w:t>ентр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 надання адміністративних послуг.</w:t>
      </w:r>
    </w:p>
    <w:p w14:paraId="58B5CA35" w14:textId="5CCE98C1" w:rsidR="00304B1C" w:rsidRPr="0097588E" w:rsidRDefault="0097588E" w:rsidP="0097588E">
      <w:pPr>
        <w:pStyle w:val="a7"/>
        <w:numPr>
          <w:ilvl w:val="0"/>
          <w:numId w:val="10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7588E">
        <w:rPr>
          <w:rFonts w:ascii="Times New Roman" w:hAnsi="Times New Roman" w:cs="Times New Roman"/>
          <w:sz w:val="24"/>
          <w:szCs w:val="24"/>
          <w:lang w:val="uk-UA"/>
        </w:rPr>
        <w:t>узгодження спірних питань з громадськістю (здійснюється шляхом розгляду на засіданні робочої групи);</w:t>
      </w:r>
    </w:p>
    <w:p w14:paraId="511B26E0" w14:textId="0D9EE3B5" w:rsidR="00304B1C" w:rsidRPr="003B0377" w:rsidRDefault="000C04EF" w:rsidP="009016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>забезпечити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>оприлюднення розробленого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>проєкту Програми, а також результатів розгляду пропозицій громадськості до проєкту Програми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>на офіційному веб</w:t>
      </w:r>
      <w:r w:rsidR="000F3754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сайті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протягом семи календарних днів з дня їх розгляду;</w:t>
      </w:r>
    </w:p>
    <w:p w14:paraId="19AF2E21" w14:textId="302E6BBF" w:rsidR="00304B1C" w:rsidRPr="000C04EF" w:rsidRDefault="00304B1C" w:rsidP="009016B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04EF">
        <w:rPr>
          <w:rFonts w:ascii="Times New Roman" w:hAnsi="Times New Roman" w:cs="Times New Roman"/>
          <w:sz w:val="24"/>
          <w:szCs w:val="24"/>
        </w:rPr>
        <w:t xml:space="preserve">–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C04EF">
        <w:rPr>
          <w:rFonts w:ascii="Times New Roman" w:hAnsi="Times New Roman" w:cs="Times New Roman"/>
          <w:sz w:val="24"/>
          <w:szCs w:val="24"/>
        </w:rPr>
        <w:t>підготувати звіт за результатами розгляду пропозицій громадськості до проєкту Програми комплексного відновлення території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 населених пунктів</w:t>
      </w:r>
      <w:r w:rsidRPr="000C04EF">
        <w:rPr>
          <w:rFonts w:ascii="Times New Roman" w:hAnsi="Times New Roman" w:cs="Times New Roman"/>
          <w:sz w:val="24"/>
          <w:szCs w:val="24"/>
        </w:rPr>
        <w:t xml:space="preserve">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0C04EF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у відповідності до вимог чинного законодавства;</w:t>
      </w:r>
    </w:p>
    <w:p w14:paraId="708957CA" w14:textId="11E0D838" w:rsidR="00304B1C" w:rsidRPr="000C04EF" w:rsidRDefault="00304B1C" w:rsidP="003B037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C04EF">
        <w:rPr>
          <w:rFonts w:ascii="Times New Roman" w:hAnsi="Times New Roman" w:cs="Times New Roman"/>
          <w:sz w:val="24"/>
          <w:szCs w:val="24"/>
        </w:rPr>
        <w:t xml:space="preserve">–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Pr="000C04EF">
        <w:rPr>
          <w:rFonts w:ascii="Times New Roman" w:hAnsi="Times New Roman" w:cs="Times New Roman"/>
          <w:sz w:val="24"/>
          <w:szCs w:val="24"/>
        </w:rPr>
        <w:t xml:space="preserve">винести на розгляд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засідання</w:t>
      </w:r>
      <w:r w:rsidRPr="000C04EF">
        <w:rPr>
          <w:rFonts w:ascii="Times New Roman" w:hAnsi="Times New Roman" w:cs="Times New Roman"/>
          <w:sz w:val="24"/>
          <w:szCs w:val="24"/>
        </w:rPr>
        <w:t xml:space="preserve">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0C04EF">
        <w:rPr>
          <w:rFonts w:ascii="Times New Roman" w:hAnsi="Times New Roman" w:cs="Times New Roman"/>
          <w:sz w:val="24"/>
          <w:szCs w:val="24"/>
        </w:rPr>
        <w:t xml:space="preserve"> міської ради проєкт Програми комплексного відновлення території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0C04EF">
        <w:rPr>
          <w:rFonts w:ascii="Times New Roman" w:hAnsi="Times New Roman" w:cs="Times New Roman"/>
          <w:sz w:val="24"/>
          <w:szCs w:val="24"/>
        </w:rPr>
        <w:t xml:space="preserve"> міської територіальної громади протягом  </w:t>
      </w:r>
      <w:r w:rsidRPr="00ED0E82">
        <w:rPr>
          <w:rFonts w:ascii="Times New Roman" w:hAnsi="Times New Roman" w:cs="Times New Roman"/>
          <w:sz w:val="24"/>
          <w:szCs w:val="24"/>
        </w:rPr>
        <w:t>п’яти робочих днів</w:t>
      </w:r>
      <w:r w:rsidRPr="000C04EF">
        <w:rPr>
          <w:rFonts w:ascii="Times New Roman" w:hAnsi="Times New Roman" w:cs="Times New Roman"/>
          <w:sz w:val="24"/>
          <w:szCs w:val="24"/>
        </w:rPr>
        <w:t xml:space="preserve"> з дня оприлюднення звіту про громадське обговорення проєкту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C04EF">
        <w:rPr>
          <w:rFonts w:ascii="Times New Roman" w:hAnsi="Times New Roman" w:cs="Times New Roman"/>
          <w:sz w:val="24"/>
          <w:szCs w:val="24"/>
        </w:rPr>
        <w:t>(подати проєкт рішення).</w:t>
      </w:r>
    </w:p>
    <w:p w14:paraId="5FF9DC3D" w14:textId="561982E8" w:rsidR="00304B1C" w:rsidRPr="000C04EF" w:rsidRDefault="001B5EFD" w:rsidP="00FA0ADC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B0377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C04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4B1C" w:rsidRPr="000C04EF">
        <w:rPr>
          <w:rFonts w:ascii="Times New Roman" w:hAnsi="Times New Roman" w:cs="Times New Roman"/>
          <w:sz w:val="24"/>
          <w:szCs w:val="24"/>
          <w:lang w:val="uk-UA"/>
        </w:rPr>
        <w:t xml:space="preserve">Керівники виконавчих органів </w:t>
      </w:r>
      <w:r w:rsidR="003B0377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0C04EF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 комунальних підприємств, установ, організацій несуть персональну відповідальність за своєчасність надання та повноту інформації, запитуваної розробником Програми комплексного відновлення території</w:t>
      </w:r>
      <w:r w:rsidR="009016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 xml:space="preserve">населених пунктів </w:t>
      </w:r>
      <w:r w:rsidR="009016B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304B1C" w:rsidRPr="000C04EF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громади.</w:t>
      </w:r>
    </w:p>
    <w:p w14:paraId="2D5490EB" w14:textId="280661D8" w:rsidR="00304B1C" w:rsidRPr="003B0377" w:rsidRDefault="003B0377" w:rsidP="003B037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A0AD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B0377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B5EFD"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3B0377">
        <w:rPr>
          <w:rFonts w:ascii="Times New Roman" w:hAnsi="Times New Roman" w:cs="Times New Roman"/>
          <w:sz w:val="24"/>
          <w:szCs w:val="24"/>
          <w:lang w:val="uk-UA"/>
        </w:rPr>
        <w:t xml:space="preserve">.   </w:t>
      </w:r>
      <w:r w:rsidR="00304B1C" w:rsidRPr="003B0377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заступника міського голови </w:t>
      </w:r>
      <w:r w:rsidR="00DF373E">
        <w:rPr>
          <w:rFonts w:ascii="Times New Roman" w:hAnsi="Times New Roman" w:cs="Times New Roman"/>
          <w:sz w:val="24"/>
          <w:szCs w:val="24"/>
          <w:lang w:val="uk-UA"/>
        </w:rPr>
        <w:t>Дмитра ЧЕЙЧУКА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2E5E12A" w14:textId="586EE443" w:rsidR="003B0377" w:rsidRDefault="003B0377" w:rsidP="00304B1C"/>
    <w:p w14:paraId="3137B256" w14:textId="40C15878" w:rsidR="0083364B" w:rsidRDefault="0083364B" w:rsidP="00304B1C"/>
    <w:p w14:paraId="60DBFCE5" w14:textId="77777777" w:rsidR="0043223D" w:rsidRPr="0043223D" w:rsidRDefault="0043223D" w:rsidP="0043223D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  <w:bookmarkStart w:id="0" w:name="_Hlk131428724"/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</w:r>
      <w:r w:rsidRPr="0043223D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ab/>
        <w:t xml:space="preserve">                        Анатолій ФЕДОРУК</w:t>
      </w:r>
    </w:p>
    <w:bookmarkEnd w:id="0"/>
    <w:p w14:paraId="25EBA4C4" w14:textId="77777777" w:rsidR="003B0377" w:rsidRPr="0043223D" w:rsidRDefault="003B0377" w:rsidP="00304B1C">
      <w:pPr>
        <w:rPr>
          <w:lang w:val="uk-UA"/>
        </w:rPr>
      </w:pPr>
    </w:p>
    <w:p w14:paraId="55AB6AEC" w14:textId="77777777" w:rsidR="003B0377" w:rsidRDefault="003B0377" w:rsidP="00304B1C"/>
    <w:p w14:paraId="097B3BA8" w14:textId="77777777" w:rsidR="003B0377" w:rsidRDefault="003B0377" w:rsidP="00304B1C"/>
    <w:p w14:paraId="09FCCE2F" w14:textId="445C0D1C" w:rsidR="003B0377" w:rsidRPr="009C4A0A" w:rsidRDefault="009C4A0A" w:rsidP="009C4A0A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</w:t>
      </w:r>
    </w:p>
    <w:p w14:paraId="0EA544EC" w14:textId="77777777" w:rsidR="003B0377" w:rsidRDefault="003B0377" w:rsidP="00304B1C"/>
    <w:p w14:paraId="5D5AD68A" w14:textId="77777777" w:rsidR="003B0377" w:rsidRDefault="003B0377" w:rsidP="00304B1C"/>
    <w:p w14:paraId="76023B67" w14:textId="77777777" w:rsidR="003B0377" w:rsidRDefault="003B0377" w:rsidP="00304B1C"/>
    <w:p w14:paraId="7E792019" w14:textId="77777777" w:rsidR="003B0377" w:rsidRDefault="003B0377" w:rsidP="00304B1C"/>
    <w:p w14:paraId="044FFBB8" w14:textId="77777777" w:rsidR="003B0377" w:rsidRDefault="003B0377" w:rsidP="00304B1C"/>
    <w:p w14:paraId="26DAC0BB" w14:textId="77777777" w:rsidR="003B0377" w:rsidRDefault="003B0377" w:rsidP="00304B1C"/>
    <w:p w14:paraId="48EF3F83" w14:textId="77777777" w:rsidR="003B0377" w:rsidRDefault="003B0377" w:rsidP="00304B1C"/>
    <w:p w14:paraId="2C962A02" w14:textId="77777777" w:rsidR="003B0377" w:rsidRDefault="003B0377" w:rsidP="00304B1C"/>
    <w:p w14:paraId="1500D0AC" w14:textId="77777777" w:rsidR="003B0377" w:rsidRDefault="003B0377" w:rsidP="00304B1C"/>
    <w:sectPr w:rsidR="003B0377" w:rsidSect="00E878A9">
      <w:pgSz w:w="11906" w:h="16838"/>
      <w:pgMar w:top="851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F140F"/>
    <w:multiLevelType w:val="hybridMultilevel"/>
    <w:tmpl w:val="370AE526"/>
    <w:lvl w:ilvl="0" w:tplc="F84C1782"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C767DF"/>
    <w:multiLevelType w:val="multilevel"/>
    <w:tmpl w:val="46741E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1D3637"/>
    <w:multiLevelType w:val="multilevel"/>
    <w:tmpl w:val="417CB8E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8E2A8F"/>
    <w:multiLevelType w:val="hybridMultilevel"/>
    <w:tmpl w:val="E9969DEE"/>
    <w:lvl w:ilvl="0" w:tplc="B4E8C9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CB32799"/>
    <w:multiLevelType w:val="hybridMultilevel"/>
    <w:tmpl w:val="88328BAC"/>
    <w:lvl w:ilvl="0" w:tplc="B4E8C95A">
      <w:start w:val="1"/>
      <w:numFmt w:val="bullet"/>
      <w:lvlText w:val=""/>
      <w:lvlJc w:val="left"/>
      <w:pPr>
        <w:ind w:left="6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4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6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0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1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7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2500" w:hanging="360"/>
      </w:pPr>
      <w:rPr>
        <w:rFonts w:ascii="Wingdings" w:hAnsi="Wingdings" w:hint="default"/>
      </w:rPr>
    </w:lvl>
  </w:abstractNum>
  <w:abstractNum w:abstractNumId="5" w15:restartNumberingAfterBreak="0">
    <w:nsid w:val="24021F09"/>
    <w:multiLevelType w:val="hybridMultilevel"/>
    <w:tmpl w:val="B428F5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5B6267"/>
    <w:multiLevelType w:val="multilevel"/>
    <w:tmpl w:val="BF8A9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652140D"/>
    <w:multiLevelType w:val="multilevel"/>
    <w:tmpl w:val="C5A4A64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FF1E44"/>
    <w:multiLevelType w:val="multilevel"/>
    <w:tmpl w:val="A126A4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C61F0B"/>
    <w:multiLevelType w:val="multilevel"/>
    <w:tmpl w:val="5E16EE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ED0CF3"/>
    <w:multiLevelType w:val="multilevel"/>
    <w:tmpl w:val="12222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7702391"/>
    <w:multiLevelType w:val="hybridMultilevel"/>
    <w:tmpl w:val="3CDAEB76"/>
    <w:lvl w:ilvl="0" w:tplc="B4E8C9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FF13DC"/>
    <w:multiLevelType w:val="multilevel"/>
    <w:tmpl w:val="152EE80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2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5"/>
  </w:num>
  <w:num w:numId="10">
    <w:abstractNumId w:val="11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85"/>
    <w:rsid w:val="0000095D"/>
    <w:rsid w:val="00042329"/>
    <w:rsid w:val="000C04EF"/>
    <w:rsid w:val="000F3754"/>
    <w:rsid w:val="001B5EFD"/>
    <w:rsid w:val="00274C0E"/>
    <w:rsid w:val="00304B1C"/>
    <w:rsid w:val="003B0377"/>
    <w:rsid w:val="004150EF"/>
    <w:rsid w:val="0043223D"/>
    <w:rsid w:val="00447155"/>
    <w:rsid w:val="00461321"/>
    <w:rsid w:val="00552180"/>
    <w:rsid w:val="005B620B"/>
    <w:rsid w:val="005F07D5"/>
    <w:rsid w:val="00742B33"/>
    <w:rsid w:val="00770564"/>
    <w:rsid w:val="008126F7"/>
    <w:rsid w:val="0083364B"/>
    <w:rsid w:val="008A304C"/>
    <w:rsid w:val="009016B9"/>
    <w:rsid w:val="0097588E"/>
    <w:rsid w:val="009971A9"/>
    <w:rsid w:val="009C4A0A"/>
    <w:rsid w:val="009F6A85"/>
    <w:rsid w:val="00A43E72"/>
    <w:rsid w:val="00B9771B"/>
    <w:rsid w:val="00BB389E"/>
    <w:rsid w:val="00BF6BF3"/>
    <w:rsid w:val="00C2610A"/>
    <w:rsid w:val="00C632A7"/>
    <w:rsid w:val="00DF373E"/>
    <w:rsid w:val="00E878A9"/>
    <w:rsid w:val="00ED0E82"/>
    <w:rsid w:val="00FA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7FE65"/>
  <w15:chartTrackingRefBased/>
  <w15:docId w15:val="{B9C6951A-6590-46B5-AD1E-16719E0D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04B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04B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4B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304B1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304B1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304B1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304B1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B1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04B1C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304B1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4B1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304B1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4B1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04B1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rsid w:val="00304B1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304B1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304B1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table" w:styleId="a6">
    <w:name w:val="Table Grid"/>
    <w:basedOn w:val="a1"/>
    <w:uiPriority w:val="39"/>
    <w:rsid w:val="00C261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uiPriority w:val="39"/>
    <w:rsid w:val="00C2610A"/>
    <w:pPr>
      <w:spacing w:after="0" w:line="240" w:lineRule="auto"/>
    </w:pPr>
    <w:rPr>
      <w:rFonts w:ascii="Calibri" w:eastAsia="Calibri" w:hAnsi="Calibri" w:cs="Times New Roman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B620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32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322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omada@bucha-rada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romada@bucha-rada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39</cp:revision>
  <cp:lastPrinted>2023-05-22T13:25:00Z</cp:lastPrinted>
  <dcterms:created xsi:type="dcterms:W3CDTF">2023-04-11T05:43:00Z</dcterms:created>
  <dcterms:modified xsi:type="dcterms:W3CDTF">2023-05-30T07:19:00Z</dcterms:modified>
</cp:coreProperties>
</file>